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AC6" w:rsidP="00527AC6" w:rsidRDefault="00527AC6" w14:paraId="46D7DAD8" w14:textId="77777777">
      <w:pPr>
        <w:jc w:val="center"/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A level Results:</w:t>
      </w:r>
    </w:p>
    <w:p w:rsidR="00F375A1" w:rsidP="32217929" w:rsidRDefault="00F375A1" w14:paraId="0CBC786D" w14:textId="25C21767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</w:p>
    <w:p w:rsidR="00F375A1" w:rsidP="00F375A1" w:rsidRDefault="00F375A1" w14:paraId="14F1EF9E" w14:textId="65B1A195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2025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985"/>
      </w:tblGrid>
      <w:tr w:rsidR="00F375A1" w:rsidTr="54900758" w14:paraId="41A1E0CB" w14:textId="77777777">
        <w:trPr>
          <w:trHeight w:val="300"/>
          <w:jc w:val="center"/>
        </w:trPr>
        <w:tc>
          <w:tcPr>
            <w:tcW w:w="4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="00F375A1" w:rsidP="000D4DAF" w:rsidRDefault="00F375A1" w14:paraId="20824BC7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Pass Rates</w:t>
            </w:r>
          </w:p>
        </w:tc>
      </w:tr>
      <w:tr w:rsidR="00F375A1" w:rsidTr="54900758" w14:paraId="3BEC275C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="00F375A1" w:rsidP="000D4DAF" w:rsidRDefault="00F375A1" w14:paraId="7A399ADE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Grades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="00F375A1" w:rsidP="000D4DAF" w:rsidRDefault="00F375A1" w14:paraId="0EF72FA9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%</w:t>
            </w:r>
            <w:r>
              <w:rPr>
                <w:rFonts w:ascii="Calibri" w:hAnsi="Calibri" w:eastAsia="Times New Roman" w:cs="Calibri"/>
                <w:sz w:val="32"/>
                <w:szCs w:val="32"/>
                <w:lang w:val="en-GB" w:eastAsia="en-GB"/>
              </w:rPr>
              <w:t> </w:t>
            </w:r>
          </w:p>
        </w:tc>
      </w:tr>
      <w:tr w:rsidR="00F375A1" w:rsidTr="54900758" w14:paraId="0E755988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F375A1" w:rsidP="000D4DAF" w:rsidRDefault="00F375A1" w14:paraId="6DAEBA67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A*-A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F375A1" w:rsidP="000D4DAF" w:rsidRDefault="00F375A1" w14:paraId="6331F448" w14:textId="5409882A">
            <w:pPr>
              <w:widowControl w:val="1"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54900758" w:rsidR="00F375A1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3</w:t>
            </w:r>
            <w:r w:rsidRPr="54900758" w:rsidR="4E3B2D65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9</w:t>
            </w:r>
          </w:p>
        </w:tc>
      </w:tr>
      <w:tr w:rsidR="00F375A1" w:rsidTr="54900758" w14:paraId="0DA52B08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F375A1" w:rsidP="000D4DAF" w:rsidRDefault="00F375A1" w14:paraId="46F8750C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A*-B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F375A1" w:rsidP="000D4DAF" w:rsidRDefault="00F375A1" w14:paraId="44AF2181" w14:textId="29D00585">
            <w:pPr>
              <w:widowControl w:val="1"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54900758" w:rsidR="00F375A1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6</w:t>
            </w:r>
            <w:r w:rsidRPr="54900758" w:rsidR="6E57F603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4</w:t>
            </w:r>
          </w:p>
        </w:tc>
      </w:tr>
      <w:tr w:rsidR="00F375A1" w:rsidTr="54900758" w14:paraId="7C38E44A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F375A1" w:rsidP="000D4DAF" w:rsidRDefault="00F375A1" w14:paraId="14708B3B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A*-C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F375A1" w:rsidP="000D4DAF" w:rsidRDefault="00F375A1" w14:paraId="3C9A0830" w14:textId="09450029">
            <w:pPr>
              <w:widowControl w:val="1"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54900758" w:rsidR="00F375A1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8</w:t>
            </w:r>
            <w:r w:rsidRPr="54900758" w:rsidR="0BC7EC27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4</w:t>
            </w:r>
          </w:p>
        </w:tc>
      </w:tr>
      <w:tr w:rsidR="00F375A1" w:rsidTr="54900758" w14:paraId="05458B2E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F375A1" w:rsidP="000D4DAF" w:rsidRDefault="00F375A1" w14:paraId="2D9AD655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 Level % pass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F375A1" w:rsidP="000D4DAF" w:rsidRDefault="00F375A1" w14:paraId="281D40A4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100</w:t>
            </w:r>
          </w:p>
        </w:tc>
      </w:tr>
    </w:tbl>
    <w:p w:rsidR="00F375A1" w:rsidP="00527AC6" w:rsidRDefault="00F375A1" w14:paraId="7A9286D7" w14:textId="77777777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</w:p>
    <w:p w:rsidR="00527AC6" w:rsidP="00527AC6" w:rsidRDefault="00527AC6" w14:paraId="538F9B5E" w14:textId="3355B877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2024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985"/>
      </w:tblGrid>
      <w:tr w:rsidR="00527AC6" w:rsidTr="00527AC6" w14:paraId="3CAD5EAA" w14:textId="77777777">
        <w:trPr>
          <w:trHeight w:val="300"/>
          <w:jc w:val="center"/>
        </w:trPr>
        <w:tc>
          <w:tcPr>
            <w:tcW w:w="4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47485338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Pass Rates</w:t>
            </w:r>
          </w:p>
        </w:tc>
      </w:tr>
      <w:tr w:rsidR="00527AC6" w:rsidTr="00527AC6" w14:paraId="776AABE0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621578FF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Grades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6CCFB549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%</w:t>
            </w:r>
            <w:r>
              <w:rPr>
                <w:rFonts w:ascii="Calibri" w:hAnsi="Calibri" w:eastAsia="Times New Roman" w:cs="Calibri"/>
                <w:sz w:val="32"/>
                <w:szCs w:val="32"/>
                <w:lang w:val="en-GB" w:eastAsia="en-GB"/>
              </w:rPr>
              <w:t> </w:t>
            </w:r>
          </w:p>
        </w:tc>
      </w:tr>
      <w:tr w:rsidR="00527AC6" w:rsidTr="00527AC6" w14:paraId="1A9F1629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5250A20A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A*-A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7A654899" w14:textId="69E3922C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34</w:t>
            </w:r>
          </w:p>
        </w:tc>
      </w:tr>
      <w:tr w:rsidR="00527AC6" w:rsidTr="00527AC6" w14:paraId="1576418B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6421F10B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A*-B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05291E26" w14:textId="69F58E40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64</w:t>
            </w:r>
          </w:p>
        </w:tc>
      </w:tr>
      <w:tr w:rsidR="00527AC6" w:rsidTr="00527AC6" w14:paraId="6BE439B8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74BD2BA3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A*-C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18400A9F" w14:textId="3945D97D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87</w:t>
            </w:r>
          </w:p>
        </w:tc>
      </w:tr>
      <w:tr w:rsidR="00527AC6" w:rsidTr="00527AC6" w14:paraId="60BB5E24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2D873E62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 Level % pass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3870F6DD" w14:textId="443FA43D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100</w:t>
            </w:r>
          </w:p>
        </w:tc>
      </w:tr>
    </w:tbl>
    <w:p w:rsidR="00527AC6" w:rsidP="00527AC6" w:rsidRDefault="00527AC6" w14:paraId="0F176D76" w14:textId="77777777"/>
    <w:p w:rsidR="00527AC6" w:rsidP="00527AC6" w:rsidRDefault="00527AC6" w14:paraId="10CF0E4E" w14:textId="77777777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2023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985"/>
      </w:tblGrid>
      <w:tr w:rsidR="00527AC6" w:rsidTr="00527AC6" w14:paraId="1226834F" w14:textId="77777777">
        <w:trPr>
          <w:trHeight w:val="300"/>
          <w:jc w:val="center"/>
        </w:trPr>
        <w:tc>
          <w:tcPr>
            <w:tcW w:w="4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72646FEB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Pass Rates</w:t>
            </w:r>
          </w:p>
        </w:tc>
      </w:tr>
      <w:tr w:rsidR="00527AC6" w:rsidTr="00527AC6" w14:paraId="04FC3897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6A8827C4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Grades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046A81A5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%</w:t>
            </w:r>
            <w:r>
              <w:rPr>
                <w:rFonts w:ascii="Calibri" w:hAnsi="Calibri" w:eastAsia="Times New Roman" w:cs="Calibri"/>
                <w:sz w:val="32"/>
                <w:szCs w:val="32"/>
                <w:lang w:val="en-GB" w:eastAsia="en-GB"/>
              </w:rPr>
              <w:t> </w:t>
            </w:r>
          </w:p>
        </w:tc>
      </w:tr>
      <w:tr w:rsidR="00527AC6" w:rsidTr="00527AC6" w14:paraId="527CB76E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5B139B52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A*-A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1A3A87E9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16 </w:t>
            </w:r>
          </w:p>
        </w:tc>
      </w:tr>
      <w:tr w:rsidR="00527AC6" w:rsidTr="00527AC6" w14:paraId="253997F0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1595E33C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A*-B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323B3A55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48 </w:t>
            </w:r>
          </w:p>
        </w:tc>
      </w:tr>
      <w:tr w:rsidR="00527AC6" w:rsidTr="00527AC6" w14:paraId="68FF19C6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2D86897C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A*-C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1D5535D6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71 </w:t>
            </w:r>
          </w:p>
        </w:tc>
      </w:tr>
      <w:tr w:rsidR="00527AC6" w:rsidTr="00527AC6" w14:paraId="3CF9DF9E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1D8CA244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A Level % pass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3739BC4E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95 </w:t>
            </w:r>
          </w:p>
        </w:tc>
      </w:tr>
    </w:tbl>
    <w:p w:rsidR="00527AC6" w:rsidP="2231F20F" w:rsidRDefault="00527AC6" w14:paraId="366C4093" w14:noSpellErr="1" w14:textId="6343A45A">
      <w:pPr>
        <w:pStyle w:val="Normal"/>
      </w:pPr>
    </w:p>
    <w:p w:rsidR="00527AC6" w:rsidP="00527AC6" w:rsidRDefault="00527AC6" w14:paraId="23103863" w14:textId="77777777" w14:noSpellErr="1"/>
    <w:p w:rsidR="2231F20F" w:rsidRDefault="2231F20F" w14:paraId="0490C656" w14:textId="2BFA1586"/>
    <w:p w:rsidR="2231F20F" w:rsidRDefault="2231F20F" w14:paraId="7977AC12" w14:textId="00666991"/>
    <w:p w:rsidR="2231F20F" w:rsidRDefault="2231F20F" w14:paraId="49CEFAF7" w14:textId="7E77712E"/>
    <w:p w:rsidR="2231F20F" w:rsidRDefault="2231F20F" w14:paraId="54A15653" w14:textId="7FBDE8DA"/>
    <w:p w:rsidR="2231F20F" w:rsidRDefault="2231F20F" w14:paraId="701A7539" w14:textId="168C6BC8"/>
    <w:p w:rsidR="2231F20F" w:rsidRDefault="2231F20F" w14:paraId="215F4D64" w14:textId="67B478A0"/>
    <w:p w:rsidR="2231F20F" w:rsidRDefault="2231F20F" w14:paraId="41224EC7" w14:textId="63CC866C"/>
    <w:p w:rsidR="00527AC6" w:rsidP="00527AC6" w:rsidRDefault="00527AC6" w14:paraId="404FE4BD" w14:textId="77777777">
      <w:pPr>
        <w:jc w:val="center"/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GCSE Results:</w:t>
      </w:r>
    </w:p>
    <w:p w:rsidR="007C1AD4" w:rsidP="007C1AD4" w:rsidRDefault="007C1AD4" w14:paraId="51F4EFD0" w14:textId="1474D825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2025</w:t>
      </w:r>
    </w:p>
    <w:p w:rsidR="007C1AD4" w:rsidP="007C1AD4" w:rsidRDefault="007C1AD4" w14:paraId="3CA0D1BC" w14:textId="77777777"/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985"/>
      </w:tblGrid>
      <w:tr w:rsidR="007C1AD4" w:rsidTr="54900758" w14:paraId="5140B07A" w14:textId="77777777">
        <w:trPr>
          <w:trHeight w:val="300"/>
          <w:jc w:val="center"/>
        </w:trPr>
        <w:tc>
          <w:tcPr>
            <w:tcW w:w="4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="007C1AD4" w:rsidP="000D4DAF" w:rsidRDefault="007C1AD4" w14:paraId="009AE49B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Pass Rates</w:t>
            </w:r>
          </w:p>
        </w:tc>
      </w:tr>
      <w:tr w:rsidR="007C1AD4" w:rsidTr="54900758" w14:paraId="305C79E7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="007C1AD4" w:rsidP="000D4DAF" w:rsidRDefault="007C1AD4" w14:paraId="39BF0B91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Grades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="007C1AD4" w:rsidP="000D4DAF" w:rsidRDefault="007C1AD4" w14:paraId="712B9769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%</w:t>
            </w:r>
            <w:r>
              <w:rPr>
                <w:rFonts w:ascii="Calibri" w:hAnsi="Calibri" w:eastAsia="Times New Roman" w:cs="Calibri"/>
                <w:sz w:val="32"/>
                <w:szCs w:val="32"/>
                <w:lang w:val="en-GB" w:eastAsia="en-GB"/>
              </w:rPr>
              <w:t> </w:t>
            </w:r>
          </w:p>
        </w:tc>
      </w:tr>
      <w:tr w:rsidR="007C1AD4" w:rsidTr="54900758" w14:paraId="54FA6C6E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7C1AD4" w:rsidP="000D4DAF" w:rsidRDefault="007C1AD4" w14:paraId="66BD55FA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7C1AD4" w:rsidP="000D4DAF" w:rsidRDefault="002636A9" w14:paraId="08984778" w14:textId="74EB1409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7</w:t>
            </w:r>
          </w:p>
        </w:tc>
      </w:tr>
      <w:tr w:rsidR="007C1AD4" w:rsidTr="54900758" w14:paraId="4B04A90C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7C1AD4" w:rsidP="000D4DAF" w:rsidRDefault="007C1AD4" w14:paraId="261EADC0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9-8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7C1AD4" w:rsidP="000D4DAF" w:rsidRDefault="00A26541" w14:paraId="01FC66E9" w14:textId="0105AA26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15</w:t>
            </w:r>
          </w:p>
        </w:tc>
      </w:tr>
      <w:tr w:rsidR="007C1AD4" w:rsidTr="54900758" w14:paraId="41837030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7C1AD4" w:rsidP="000D4DAF" w:rsidRDefault="007C1AD4" w14:paraId="0CD6183E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9-7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7C1AD4" w:rsidP="000D4DAF" w:rsidRDefault="00992149" w14:paraId="0C6CB5B4" w14:textId="5DD232AA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26</w:t>
            </w:r>
          </w:p>
        </w:tc>
      </w:tr>
      <w:tr w:rsidR="007C1AD4" w:rsidTr="54900758" w14:paraId="27CB8739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7C1AD4" w:rsidP="000D4DAF" w:rsidRDefault="007C1AD4" w14:paraId="6A73CB4F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9-6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7C1AD4" w:rsidP="000D4DAF" w:rsidRDefault="00A26541" w14:paraId="774B88C9" w14:textId="7B85602C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45</w:t>
            </w:r>
          </w:p>
        </w:tc>
      </w:tr>
      <w:tr w:rsidR="007C1AD4" w:rsidTr="54900758" w14:paraId="2D0CD19B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96518" w:rsidR="007C1AD4" w:rsidP="000D4DAF" w:rsidRDefault="007C1AD4" w14:paraId="460F6774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9-4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96518" w:rsidR="007C1AD4" w:rsidP="000D4DAF" w:rsidRDefault="00FD5C98" w14:paraId="5800AD7F" w14:textId="4B9755B7">
            <w:pPr>
              <w:widowControl w:val="1"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54900758" w:rsidR="00FD5C9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8</w:t>
            </w:r>
            <w:r w:rsidRPr="54900758" w:rsidR="7254F291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7</w:t>
            </w:r>
          </w:p>
        </w:tc>
      </w:tr>
    </w:tbl>
    <w:p w:rsidR="00527AC6" w:rsidP="00527AC6" w:rsidRDefault="00527AC6" w14:paraId="5406F808" w14:textId="77777777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2024</w:t>
      </w:r>
    </w:p>
    <w:p w:rsidR="00527AC6" w:rsidP="00527AC6" w:rsidRDefault="00527AC6" w14:paraId="2A662ECA" w14:textId="77777777"/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985"/>
      </w:tblGrid>
      <w:tr w:rsidR="00527AC6" w:rsidTr="00527AC6" w14:paraId="6784D72F" w14:textId="77777777">
        <w:trPr>
          <w:trHeight w:val="300"/>
          <w:jc w:val="center"/>
        </w:trPr>
        <w:tc>
          <w:tcPr>
            <w:tcW w:w="4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2D1DB3BB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Pass Rates</w:t>
            </w:r>
          </w:p>
        </w:tc>
      </w:tr>
      <w:tr w:rsidR="00527AC6" w:rsidTr="00527AC6" w14:paraId="7F41435D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6E402680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Grades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2E11E314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%</w:t>
            </w:r>
            <w:r>
              <w:rPr>
                <w:rFonts w:ascii="Calibri" w:hAnsi="Calibri" w:eastAsia="Times New Roman" w:cs="Calibri"/>
                <w:sz w:val="32"/>
                <w:szCs w:val="32"/>
                <w:lang w:val="en-GB" w:eastAsia="en-GB"/>
              </w:rPr>
              <w:t> </w:t>
            </w:r>
          </w:p>
        </w:tc>
      </w:tr>
      <w:tr w:rsidR="00527AC6" w:rsidTr="00527AC6" w14:paraId="729CA1A8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05C24378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08A30FAA" w14:textId="255F2970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15</w:t>
            </w:r>
          </w:p>
        </w:tc>
      </w:tr>
      <w:tr w:rsidR="00527AC6" w:rsidTr="00527AC6" w14:paraId="108C1093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7DF28D02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9-8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5D1883FB" w14:textId="0A044232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31</w:t>
            </w:r>
          </w:p>
        </w:tc>
      </w:tr>
      <w:tr w:rsidR="00527AC6" w:rsidTr="00527AC6" w14:paraId="5AF2D89C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68648974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9-7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73FA0DDD" w14:textId="2F09F8D0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45</w:t>
            </w:r>
          </w:p>
        </w:tc>
      </w:tr>
      <w:tr w:rsidR="00527AC6" w:rsidTr="00527AC6" w14:paraId="5B519FDD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316CC64B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9-6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34FFFB1F" w14:textId="56286590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61</w:t>
            </w:r>
          </w:p>
        </w:tc>
      </w:tr>
      <w:tr w:rsidR="00527AC6" w:rsidTr="00527AC6" w14:paraId="33946B95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6518" w:rsidR="00527AC6" w:rsidRDefault="00527AC6" w14:paraId="656EC5B0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9-4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96518" w:rsidR="00527AC6" w:rsidRDefault="00B96518" w14:paraId="65A2DA0F" w14:textId="67813DB5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</w:pPr>
            <w:r w:rsidRPr="00B96518">
              <w:rPr>
                <w:rFonts w:ascii="Segoe UI" w:hAnsi="Segoe UI" w:eastAsia="Times New Roman" w:cs="Segoe UI"/>
                <w:sz w:val="28"/>
                <w:szCs w:val="28"/>
                <w:lang w:val="en-GB" w:eastAsia="en-GB"/>
              </w:rPr>
              <w:t>92</w:t>
            </w:r>
          </w:p>
        </w:tc>
      </w:tr>
    </w:tbl>
    <w:p w:rsidR="00527AC6" w:rsidP="00527AC6" w:rsidRDefault="00527AC6" w14:paraId="5FF00FD0" w14:textId="77777777">
      <w:pP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2023</w:t>
      </w:r>
    </w:p>
    <w:p w:rsidR="00527AC6" w:rsidP="00527AC6" w:rsidRDefault="00527AC6" w14:paraId="179B92DB" w14:textId="77777777"/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985"/>
      </w:tblGrid>
      <w:tr w:rsidR="00527AC6" w:rsidTr="00527AC6" w14:paraId="0DBB2427" w14:textId="77777777">
        <w:trPr>
          <w:trHeight w:val="300"/>
          <w:jc w:val="center"/>
        </w:trPr>
        <w:tc>
          <w:tcPr>
            <w:tcW w:w="4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465D8B70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Pass Rates</w:t>
            </w:r>
          </w:p>
        </w:tc>
      </w:tr>
      <w:tr w:rsidR="00527AC6" w:rsidTr="00527AC6" w14:paraId="36BA5256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5F66A530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Grades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="00527AC6" w:rsidRDefault="00527AC6" w14:paraId="7FDC050A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32"/>
                <w:szCs w:val="32"/>
                <w:lang w:val="en-GB" w:eastAsia="en-GB"/>
              </w:rPr>
              <w:t>%</w:t>
            </w:r>
            <w:r>
              <w:rPr>
                <w:rFonts w:ascii="Calibri" w:hAnsi="Calibri" w:eastAsia="Times New Roman" w:cs="Calibri"/>
                <w:sz w:val="32"/>
                <w:szCs w:val="32"/>
                <w:lang w:val="en-GB" w:eastAsia="en-GB"/>
              </w:rPr>
              <w:t> </w:t>
            </w:r>
          </w:p>
        </w:tc>
      </w:tr>
      <w:tr w:rsidR="00527AC6" w:rsidTr="00527AC6" w14:paraId="4F96ADBA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24F570E8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76F92894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12 </w:t>
            </w:r>
          </w:p>
        </w:tc>
      </w:tr>
      <w:tr w:rsidR="00527AC6" w:rsidTr="00527AC6" w14:paraId="412C7D08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62938B11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9-8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514AE47D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28 </w:t>
            </w:r>
          </w:p>
        </w:tc>
      </w:tr>
      <w:tr w:rsidR="00527AC6" w:rsidTr="00527AC6" w14:paraId="74B7FF61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62C56BC7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9-7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4AC4A342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45 </w:t>
            </w:r>
          </w:p>
        </w:tc>
      </w:tr>
      <w:tr w:rsidR="00527AC6" w:rsidTr="00527AC6" w14:paraId="3A565825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51CD155D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9-6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43B964A1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66 </w:t>
            </w:r>
          </w:p>
        </w:tc>
      </w:tr>
      <w:tr w:rsidR="00527AC6" w:rsidTr="00527AC6" w14:paraId="16576DCE" w14:textId="77777777">
        <w:trPr>
          <w:trHeight w:val="300"/>
          <w:jc w:val="center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1D804D40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9-4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27AC6" w:rsidRDefault="00527AC6" w14:paraId="5E204081" w14:textId="77777777">
            <w:pPr>
              <w:widowControl/>
              <w:autoSpaceDE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  <w:lang w:val="en-GB" w:eastAsia="en-GB"/>
              </w:rPr>
              <w:t>95 </w:t>
            </w:r>
          </w:p>
        </w:tc>
      </w:tr>
    </w:tbl>
    <w:p w:rsidR="00527AC6" w:rsidP="00527AC6" w:rsidRDefault="00527AC6" w14:paraId="0706B634" w14:textId="77777777">
      <w:pPr>
        <w:jc w:val="center"/>
        <w:rPr>
          <w:b/>
          <w:bCs/>
        </w:rPr>
      </w:pPr>
    </w:p>
    <w:p w:rsidR="32217929" w:rsidP="793E3B74" w:rsidRDefault="32217929" w14:paraId="438B8DB2" w14:textId="2876967E">
      <w:pPr>
        <w:rPr>
          <w:b/>
          <w:bCs/>
        </w:rPr>
      </w:pPr>
    </w:p>
    <w:p w:rsidR="2231F20F" w:rsidP="2231F20F" w:rsidRDefault="2231F20F" w14:paraId="612DA85C" w14:textId="14CA75FA">
      <w:pPr>
        <w:jc w:val="center"/>
        <w:rPr>
          <w:b w:val="1"/>
          <w:bCs w:val="1"/>
        </w:rPr>
      </w:pPr>
    </w:p>
    <w:p w:rsidR="2231F20F" w:rsidP="2231F20F" w:rsidRDefault="2231F20F" w14:paraId="6C9E7516" w14:textId="292C4855">
      <w:pPr>
        <w:jc w:val="center"/>
        <w:rPr>
          <w:b w:val="1"/>
          <w:bCs w:val="1"/>
        </w:rPr>
      </w:pPr>
    </w:p>
    <w:p w:rsidR="2231F20F" w:rsidP="2231F20F" w:rsidRDefault="2231F20F" w14:paraId="135BE783" w14:textId="7C1BB3B2">
      <w:pPr>
        <w:jc w:val="center"/>
        <w:rPr>
          <w:b w:val="1"/>
          <w:bCs w:val="1"/>
        </w:rPr>
      </w:pPr>
    </w:p>
    <w:p w:rsidR="2231F20F" w:rsidP="2231F20F" w:rsidRDefault="2231F20F" w14:paraId="1675D88D" w14:textId="328E77E0">
      <w:pPr>
        <w:pStyle w:val="Normal"/>
        <w:jc w:val="center"/>
        <w:rPr>
          <w:b w:val="1"/>
          <w:bCs w:val="1"/>
        </w:rPr>
      </w:pPr>
    </w:p>
    <w:p w:rsidR="2231F20F" w:rsidP="2231F20F" w:rsidRDefault="2231F20F" w14:paraId="0CFADBE5" w14:textId="592CDA07">
      <w:pPr>
        <w:jc w:val="center"/>
        <w:rPr>
          <w:b w:val="1"/>
          <w:bCs w:val="1"/>
        </w:rPr>
      </w:pPr>
    </w:p>
    <w:p w:rsidR="2231F20F" w:rsidP="2231F20F" w:rsidRDefault="2231F20F" w14:paraId="7E4374A4" w14:textId="078A7B14">
      <w:pPr>
        <w:jc w:val="center"/>
        <w:rPr>
          <w:b w:val="1"/>
          <w:bCs w:val="1"/>
        </w:rPr>
      </w:pPr>
    </w:p>
    <w:p w:rsidR="00527AC6" w:rsidP="00527AC6" w:rsidRDefault="00527AC6" w14:paraId="486054BA" w14:textId="134BF446">
      <w:pPr>
        <w:jc w:val="center"/>
        <w:rPr>
          <w:b/>
          <w:bCs/>
        </w:rPr>
      </w:pPr>
      <w:r>
        <w:rPr>
          <w:b/>
          <w:bCs/>
        </w:rPr>
        <w:t>Recent University destinations</w:t>
      </w:r>
    </w:p>
    <w:p w:rsidR="00527AC6" w:rsidP="00527AC6" w:rsidRDefault="00527AC6" w14:paraId="329F4102" w14:textId="77777777">
      <w:pPr>
        <w:jc w:val="center"/>
        <w:rPr>
          <w:b/>
          <w:bCs/>
        </w:rPr>
      </w:pPr>
    </w:p>
    <w:p w:rsidR="2A1816AB" w:rsidP="793E3B74" w:rsidRDefault="2A1816AB" w14:paraId="3C38D6B7" w14:textId="582EA6F6">
      <w:pPr>
        <w:jc w:val="center"/>
        <w:rPr>
          <w:b/>
          <w:bCs/>
          <w:sz w:val="28"/>
          <w:szCs w:val="28"/>
        </w:rPr>
      </w:pPr>
      <w:r w:rsidRPr="793E3B74">
        <w:rPr>
          <w:b/>
          <w:bCs/>
          <w:sz w:val="28"/>
          <w:szCs w:val="28"/>
        </w:rPr>
        <w:t>2025</w:t>
      </w:r>
    </w:p>
    <w:p w:rsidR="793E3B74" w:rsidP="793E3B74" w:rsidRDefault="793E3B74" w14:paraId="41718F70" w14:textId="6FC9C13F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20"/>
        <w:gridCol w:w="4920"/>
      </w:tblGrid>
      <w:tr w:rsidR="793E3B74" w:rsidTr="793E3B74" w14:paraId="0A8B4316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006F43F6" w14:textId="3A110841">
            <w:r w:rsidRPr="793E3B74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University</w:t>
            </w:r>
          </w:p>
        </w:tc>
        <w:tc>
          <w:tcPr>
            <w:tcW w:w="4920" w:type="dxa"/>
          </w:tcPr>
          <w:p w:rsidR="793E3B74" w:rsidP="793E3B74" w:rsidRDefault="793E3B74" w14:paraId="2D6728F7" w14:textId="470E5F00">
            <w:r w:rsidRPr="793E3B74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Course</w:t>
            </w:r>
          </w:p>
        </w:tc>
      </w:tr>
      <w:tr w:rsidR="793E3B74" w:rsidTr="793E3B74" w14:paraId="66E2D617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487E21B8" w14:textId="5C025B3F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Cardiff University</w:t>
            </w:r>
          </w:p>
        </w:tc>
        <w:tc>
          <w:tcPr>
            <w:tcW w:w="4920" w:type="dxa"/>
          </w:tcPr>
          <w:p w:rsidR="793E3B74" w:rsidP="793E3B74" w:rsidRDefault="793E3B74" w14:paraId="5E214733" w14:textId="67D3C755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Biomedical Sciences</w:t>
            </w:r>
          </w:p>
        </w:tc>
      </w:tr>
      <w:tr w:rsidR="793E3B74" w:rsidTr="793E3B74" w14:paraId="6A30A70C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2B4D19F8" w14:textId="3863A1F0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Royal Holloway, University of London</w:t>
            </w:r>
          </w:p>
        </w:tc>
        <w:tc>
          <w:tcPr>
            <w:tcW w:w="4920" w:type="dxa"/>
          </w:tcPr>
          <w:p w:rsidR="793E3B74" w:rsidP="793E3B74" w:rsidRDefault="793E3B74" w14:paraId="7187F17B" w14:textId="19368E8B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Classical Studies</w:t>
            </w:r>
          </w:p>
        </w:tc>
      </w:tr>
      <w:tr w:rsidR="793E3B74" w:rsidTr="793E3B74" w14:paraId="1A9F612D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343445C7" w14:textId="4E94890A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Nottingham Trent University</w:t>
            </w:r>
          </w:p>
        </w:tc>
        <w:tc>
          <w:tcPr>
            <w:tcW w:w="4920" w:type="dxa"/>
          </w:tcPr>
          <w:p w:rsidR="793E3B74" w:rsidP="793E3B74" w:rsidRDefault="793E3B74" w14:paraId="5D47546D" w14:textId="20DE76BB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Geography</w:t>
            </w:r>
          </w:p>
        </w:tc>
      </w:tr>
      <w:tr w:rsidR="793E3B74" w:rsidTr="793E3B74" w14:paraId="477BFC70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03AEDD39" w14:textId="1EFE1072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University of Warwick</w:t>
            </w:r>
          </w:p>
        </w:tc>
        <w:tc>
          <w:tcPr>
            <w:tcW w:w="4920" w:type="dxa"/>
          </w:tcPr>
          <w:p w:rsidR="793E3B74" w:rsidP="793E3B74" w:rsidRDefault="793E3B74" w14:paraId="095E732C" w14:textId="65F2D192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Philosophy, Politics and Economics (PPE)</w:t>
            </w:r>
          </w:p>
          <w:p w:rsidR="42B53638" w:rsidP="793E3B74" w:rsidRDefault="42B53638" w14:paraId="47DC282E" w14:textId="127F9F2B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Mathematics</w:t>
            </w:r>
          </w:p>
        </w:tc>
      </w:tr>
      <w:tr w:rsidR="793E3B74" w:rsidTr="793E3B74" w14:paraId="7039905B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7479EC1F" w14:textId="3B34FB3D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Leeds Arts University</w:t>
            </w:r>
          </w:p>
        </w:tc>
        <w:tc>
          <w:tcPr>
            <w:tcW w:w="4920" w:type="dxa"/>
          </w:tcPr>
          <w:p w:rsidR="793E3B74" w:rsidP="793E3B74" w:rsidRDefault="793E3B74" w14:paraId="4AD6CA30" w14:textId="1A781B3D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Art Foundation</w:t>
            </w:r>
          </w:p>
        </w:tc>
      </w:tr>
      <w:tr w:rsidR="793E3B74" w:rsidTr="793E3B74" w14:paraId="4BD7CB37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2D94AE80" w14:textId="5E99EA10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Bristol School of Art</w:t>
            </w:r>
          </w:p>
        </w:tc>
        <w:tc>
          <w:tcPr>
            <w:tcW w:w="4920" w:type="dxa"/>
          </w:tcPr>
          <w:p w:rsidR="793E3B74" w:rsidP="793E3B74" w:rsidRDefault="793E3B74" w14:paraId="540DD404" w14:textId="42D26095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Art Foundation</w:t>
            </w:r>
          </w:p>
        </w:tc>
      </w:tr>
      <w:tr w:rsidR="793E3B74" w:rsidTr="793E3B74" w14:paraId="50E71B32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3659A5B9" w14:textId="5D70F3FC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University of Nottingham</w:t>
            </w:r>
          </w:p>
        </w:tc>
        <w:tc>
          <w:tcPr>
            <w:tcW w:w="4920" w:type="dxa"/>
          </w:tcPr>
          <w:p w:rsidR="793E3B74" w:rsidP="793E3B74" w:rsidRDefault="793E3B74" w14:paraId="05179080" w14:textId="2CA67DD4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Mechanical Engineering</w:t>
            </w:r>
          </w:p>
          <w:p w:rsidR="2AB20B08" w:rsidP="793E3B74" w:rsidRDefault="2AB20B08" w14:paraId="24BFA028" w14:textId="11F1C289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Politics and Economics</w:t>
            </w:r>
          </w:p>
        </w:tc>
      </w:tr>
      <w:tr w:rsidR="793E3B74" w:rsidTr="793E3B74" w14:paraId="6298611B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6CD14CF5" w14:textId="5C452537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University of Portsmouth</w:t>
            </w:r>
          </w:p>
        </w:tc>
        <w:tc>
          <w:tcPr>
            <w:tcW w:w="4920" w:type="dxa"/>
          </w:tcPr>
          <w:p w:rsidR="793E3B74" w:rsidP="793E3B74" w:rsidRDefault="793E3B74" w14:paraId="42BEE62F" w14:textId="62CF2879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Property Development</w:t>
            </w:r>
          </w:p>
        </w:tc>
      </w:tr>
      <w:tr w:rsidR="793E3B74" w:rsidTr="793E3B74" w14:paraId="0C7A4359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5D21EF24" w14:textId="65810FA8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University of Exeter</w:t>
            </w:r>
          </w:p>
        </w:tc>
        <w:tc>
          <w:tcPr>
            <w:tcW w:w="4920" w:type="dxa"/>
          </w:tcPr>
          <w:p w:rsidR="793E3B74" w:rsidP="793E3B74" w:rsidRDefault="793E3B74" w14:paraId="5AFDAE59" w14:textId="50086CCE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Economics</w:t>
            </w:r>
          </w:p>
          <w:p w:rsidR="43E55997" w:rsidP="793E3B74" w:rsidRDefault="43E55997" w14:paraId="4F4B595D" w14:textId="66E678F7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Data, Analytics &amp; Mathematics</w:t>
            </w:r>
          </w:p>
        </w:tc>
      </w:tr>
      <w:tr w:rsidR="793E3B74" w:rsidTr="793E3B74" w14:paraId="4999BE3F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289423B5" w14:textId="09213CD6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Swansea University</w:t>
            </w:r>
          </w:p>
        </w:tc>
        <w:tc>
          <w:tcPr>
            <w:tcW w:w="4920" w:type="dxa"/>
          </w:tcPr>
          <w:p w:rsidR="793E3B74" w:rsidP="793E3B74" w:rsidRDefault="793E3B74" w14:paraId="29D788EF" w14:textId="30DDCFDD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Classical Studies</w:t>
            </w:r>
          </w:p>
        </w:tc>
      </w:tr>
      <w:tr w:rsidR="793E3B74" w:rsidTr="793E3B74" w14:paraId="3F5593E1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0802E74F" w14:textId="699F16FD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Bath Spa University</w:t>
            </w:r>
          </w:p>
        </w:tc>
        <w:tc>
          <w:tcPr>
            <w:tcW w:w="4920" w:type="dxa"/>
          </w:tcPr>
          <w:p w:rsidR="793E3B74" w:rsidP="793E3B74" w:rsidRDefault="793E3B74" w14:paraId="15C4F0C5" w14:textId="6FBB2076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Psychology (Professional Placement Year)</w:t>
            </w:r>
          </w:p>
        </w:tc>
      </w:tr>
      <w:tr w:rsidR="793E3B74" w:rsidTr="793E3B74" w14:paraId="53450B65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4B146574" w14:textId="0538AFB7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London School of Economics and Political Science, University of London</w:t>
            </w:r>
          </w:p>
        </w:tc>
        <w:tc>
          <w:tcPr>
            <w:tcW w:w="4920" w:type="dxa"/>
          </w:tcPr>
          <w:p w:rsidR="793E3B74" w:rsidP="793E3B74" w:rsidRDefault="793E3B74" w14:paraId="64E4F5DE" w14:textId="7B0B580A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Management</w:t>
            </w:r>
          </w:p>
          <w:p w:rsidR="04CF5CB6" w:rsidP="793E3B74" w:rsidRDefault="04CF5CB6" w14:paraId="0AF6190D" w14:textId="2029E3A2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 xml:space="preserve">Psychological and </w:t>
            </w:r>
            <w:proofErr w:type="spellStart"/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Behavioural</w:t>
            </w:r>
            <w:proofErr w:type="spellEnd"/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 xml:space="preserve"> Science</w:t>
            </w:r>
          </w:p>
        </w:tc>
      </w:tr>
      <w:tr w:rsidR="793E3B74" w:rsidTr="793E3B74" w14:paraId="1CA389CA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5470B2C0" w14:textId="7B4D6AFC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Oxford Brookes University</w:t>
            </w:r>
          </w:p>
        </w:tc>
        <w:tc>
          <w:tcPr>
            <w:tcW w:w="4920" w:type="dxa"/>
          </w:tcPr>
          <w:p w:rsidR="793E3B74" w:rsidP="793E3B74" w:rsidRDefault="793E3B74" w14:paraId="79E0FB5D" w14:textId="0BD20E45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Criminology and Law</w:t>
            </w:r>
          </w:p>
          <w:p w:rsidR="4AE671FB" w:rsidP="793E3B74" w:rsidRDefault="4AE671FB" w14:paraId="673FDB0D" w14:textId="1C33DCE3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Business and Management</w:t>
            </w:r>
          </w:p>
          <w:p w:rsidR="4AE671FB" w:rsidP="793E3B74" w:rsidRDefault="4AE671FB" w14:paraId="790AF4D3" w14:textId="3180CE02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Business and Marketing Management</w:t>
            </w:r>
            <w:r w:rsidRPr="793E3B74" w:rsidR="155C4163">
              <w:rPr>
                <w:rFonts w:ascii="Aptos Narrow" w:hAnsi="Aptos Narrow" w:eastAsia="Aptos Narrow" w:cs="Aptos Narrow"/>
                <w:color w:val="000000" w:themeColor="text1"/>
              </w:rPr>
              <w:t xml:space="preserve"> Communication</w:t>
            </w:r>
          </w:p>
          <w:p w:rsidR="155C4163" w:rsidP="793E3B74" w:rsidRDefault="155C4163" w14:paraId="60DD4D17" w14:textId="6FC29FBD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Media and Culture</w:t>
            </w:r>
          </w:p>
        </w:tc>
      </w:tr>
      <w:tr w:rsidR="793E3B74" w:rsidTr="793E3B74" w14:paraId="5FE354BB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34C01966" w14:textId="755E2DF4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UCL (University College London)</w:t>
            </w:r>
          </w:p>
        </w:tc>
        <w:tc>
          <w:tcPr>
            <w:tcW w:w="4920" w:type="dxa"/>
          </w:tcPr>
          <w:p w:rsidR="793E3B74" w:rsidP="793E3B74" w:rsidRDefault="793E3B74" w14:paraId="3F3DB4AF" w14:textId="249864A5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History, Politics and Economics</w:t>
            </w:r>
          </w:p>
        </w:tc>
      </w:tr>
      <w:tr w:rsidR="793E3B74" w:rsidTr="793E3B74" w14:paraId="469F6E36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4A53E323" w14:textId="3A00F347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Manchester Metropolitan University</w:t>
            </w:r>
          </w:p>
        </w:tc>
        <w:tc>
          <w:tcPr>
            <w:tcW w:w="4920" w:type="dxa"/>
          </w:tcPr>
          <w:p w:rsidR="793E3B74" w:rsidP="793E3B74" w:rsidRDefault="793E3B74" w14:paraId="1B8CC105" w14:textId="6B695D02">
            <w:proofErr w:type="gramStart"/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Sport</w:t>
            </w:r>
            <w:proofErr w:type="gramEnd"/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 xml:space="preserve"> and Exercise Science</w:t>
            </w:r>
          </w:p>
        </w:tc>
      </w:tr>
      <w:tr w:rsidR="793E3B74" w:rsidTr="793E3B74" w14:paraId="6C7FAD24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33F7AB80" w14:textId="07BA8413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City (City St George's, University of London)</w:t>
            </w:r>
          </w:p>
        </w:tc>
        <w:tc>
          <w:tcPr>
            <w:tcW w:w="4920" w:type="dxa"/>
          </w:tcPr>
          <w:p w:rsidR="793E3B74" w:rsidP="793E3B74" w:rsidRDefault="793E3B74" w14:paraId="53F80BDC" w14:textId="17803F52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Law LLB</w:t>
            </w:r>
          </w:p>
        </w:tc>
      </w:tr>
      <w:tr w:rsidR="793E3B74" w:rsidTr="793E3B74" w14:paraId="31E9017B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158D9115" w14:textId="532DE5DB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Bournemouth University</w:t>
            </w:r>
          </w:p>
        </w:tc>
        <w:tc>
          <w:tcPr>
            <w:tcW w:w="4920" w:type="dxa"/>
          </w:tcPr>
          <w:p w:rsidR="793E3B74" w:rsidP="793E3B74" w:rsidRDefault="793E3B74" w14:paraId="5F20253B" w14:textId="16582976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Psychology</w:t>
            </w:r>
          </w:p>
        </w:tc>
      </w:tr>
      <w:tr w:rsidR="793E3B74" w:rsidTr="793E3B74" w14:paraId="40E26EFB" w14:textId="77777777">
        <w:trPr>
          <w:trHeight w:val="300"/>
        </w:trPr>
        <w:tc>
          <w:tcPr>
            <w:tcW w:w="4920" w:type="dxa"/>
          </w:tcPr>
          <w:p w:rsidR="793E3B74" w:rsidP="793E3B74" w:rsidRDefault="793E3B74" w14:paraId="6E0219B2" w14:textId="7CA61DBF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University of Reading</w:t>
            </w:r>
          </w:p>
        </w:tc>
        <w:tc>
          <w:tcPr>
            <w:tcW w:w="4920" w:type="dxa"/>
          </w:tcPr>
          <w:p w:rsidR="793E3B74" w:rsidP="793E3B74" w:rsidRDefault="793E3B74" w14:paraId="4488ADEB" w14:textId="501F3B33">
            <w:r w:rsidRPr="793E3B74">
              <w:rPr>
                <w:rFonts w:ascii="Aptos Narrow" w:hAnsi="Aptos Narrow" w:eastAsia="Aptos Narrow" w:cs="Aptos Narrow"/>
                <w:color w:val="000000" w:themeColor="text1"/>
              </w:rPr>
              <w:t>Law Foundation LLB</w:t>
            </w:r>
          </w:p>
        </w:tc>
      </w:tr>
    </w:tbl>
    <w:p w:rsidR="00527AC6" w:rsidP="00527AC6" w:rsidRDefault="00527AC6" w14:paraId="228DB09C" w14:textId="77777777"/>
    <w:p w:rsidR="0C7918FB" w:rsidP="793E3B74" w:rsidRDefault="0C7918FB" w14:paraId="1A597820" w14:textId="3BECDF47">
      <w:pPr>
        <w:jc w:val="center"/>
        <w:rPr>
          <w:b/>
          <w:bCs/>
          <w:sz w:val="28"/>
          <w:szCs w:val="28"/>
        </w:rPr>
      </w:pPr>
      <w:r w:rsidRPr="793E3B74">
        <w:rPr>
          <w:b/>
          <w:bCs/>
          <w:sz w:val="28"/>
          <w:szCs w:val="28"/>
        </w:rPr>
        <w:t>2024/2023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4920"/>
        <w:gridCol w:w="4935"/>
      </w:tblGrid>
      <w:tr w:rsidR="00527AC6" w:rsidTr="793E3B74" w14:paraId="7DD31221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30BD2411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Provider name</w:t>
            </w:r>
          </w:p>
        </w:tc>
        <w:tc>
          <w:tcPr>
            <w:tcW w:w="4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631D806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Course placed</w:t>
            </w:r>
          </w:p>
        </w:tc>
      </w:tr>
      <w:tr w:rsidR="00527AC6" w:rsidTr="793E3B74" w14:paraId="3D69CA12" w14:textId="77777777">
        <w:trPr>
          <w:trHeight w:val="315"/>
        </w:trPr>
        <w:tc>
          <w:tcPr>
            <w:tcW w:w="492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56B76B9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Keele University</w:t>
            </w:r>
          </w:p>
        </w:tc>
        <w:tc>
          <w:tcPr>
            <w:tcW w:w="493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6B65F11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Biochemistry and Medicinal Chemistry</w:t>
            </w:r>
          </w:p>
        </w:tc>
      </w:tr>
      <w:tr w:rsidR="00527AC6" w:rsidTr="793E3B74" w14:paraId="337884F0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1E79E58A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Southampton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567A02C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Law (European Legal Studies)</w:t>
            </w:r>
          </w:p>
        </w:tc>
      </w:tr>
      <w:tr w:rsidR="00527AC6" w:rsidTr="793E3B74" w14:paraId="671809D8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3190B39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King's College London, University of London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1745AD5A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Economics</w:t>
            </w:r>
          </w:p>
        </w:tc>
      </w:tr>
      <w:tr w:rsidR="00527AC6" w:rsidTr="793E3B74" w14:paraId="5DC29B48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03E8D7F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East Anglia UEA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1AC6F570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Philosophy, Politics and Economics with a Year Abroad</w:t>
            </w:r>
          </w:p>
        </w:tc>
      </w:tr>
      <w:tr w:rsidR="00527AC6" w:rsidTr="793E3B74" w14:paraId="6C366EEE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0DCC11F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Cardiff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68D91CE5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Electrical and Electronic Engineering</w:t>
            </w:r>
          </w:p>
        </w:tc>
      </w:tr>
      <w:tr w:rsidR="00527AC6" w:rsidTr="793E3B74" w14:paraId="1EEDFF63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F4A965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Reading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6B75BD59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Ancient History</w:t>
            </w:r>
          </w:p>
        </w:tc>
      </w:tr>
      <w:tr w:rsidR="00527AC6" w:rsidTr="793E3B74" w14:paraId="520F0AC3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B6B3CC7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Cardiff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C076087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Human Geography with a Professional Placement Year</w:t>
            </w:r>
          </w:p>
        </w:tc>
      </w:tr>
      <w:tr w:rsidR="00527AC6" w:rsidTr="793E3B74" w14:paraId="511A0F39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61CAE03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Southampton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354C7465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Marine Biology</w:t>
            </w:r>
          </w:p>
        </w:tc>
      </w:tr>
      <w:tr w:rsidR="00527AC6" w:rsidTr="793E3B74" w14:paraId="0B55BF92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6FC6D0F3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Lancaster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394AF2EA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English Literature and Creative Writing</w:t>
            </w:r>
          </w:p>
        </w:tc>
      </w:tr>
      <w:tr w:rsidR="00527AC6" w:rsidTr="793E3B74" w14:paraId="0F55F255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3A2FF3B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Swansea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F26674E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Politics and International Relations with a Year Abroad</w:t>
            </w:r>
          </w:p>
        </w:tc>
      </w:tr>
      <w:tr w:rsidR="00527AC6" w:rsidTr="793E3B74" w14:paraId="7D2945D8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6F3E55EE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LMA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5738E5C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Musical Theatre</w:t>
            </w:r>
          </w:p>
        </w:tc>
      </w:tr>
      <w:tr w:rsidR="00527AC6" w:rsidTr="793E3B74" w14:paraId="7D0B13B6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33697B49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Cardiff Metropolitan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0AB774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Digital Marketing Management (3 years or 4 years with Foundation)</w:t>
            </w:r>
          </w:p>
        </w:tc>
      </w:tr>
      <w:tr w:rsidR="00527AC6" w:rsidTr="793E3B74" w14:paraId="369E8C21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D002D5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Exeter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AD77488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Politics, Philosophy and Economics</w:t>
            </w:r>
          </w:p>
        </w:tc>
      </w:tr>
      <w:tr w:rsidR="00527AC6" w:rsidTr="793E3B74" w14:paraId="2AB7CD38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B72983D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Reading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6475C96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Business and Management</w:t>
            </w:r>
          </w:p>
        </w:tc>
      </w:tr>
      <w:tr w:rsidR="00527AC6" w:rsidTr="793E3B74" w14:paraId="61A1B206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6848B861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Cardiff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8D655AD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Economics</w:t>
            </w:r>
          </w:p>
        </w:tc>
      </w:tr>
      <w:tr w:rsidR="00527AC6" w:rsidTr="793E3B74" w14:paraId="468A3E05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13378AC4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Exeter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54D33AF9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Philosophy and Politics</w:t>
            </w:r>
          </w:p>
        </w:tc>
      </w:tr>
      <w:tr w:rsidR="00527AC6" w:rsidTr="793E3B74" w14:paraId="447AFDC0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07A1E4F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Nottingham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7E98408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International Media and Communications Studies</w:t>
            </w:r>
          </w:p>
        </w:tc>
      </w:tr>
      <w:tr w:rsidR="00527AC6" w:rsidTr="793E3B74" w14:paraId="52A9EF38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3D65763B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Birmingham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8759A36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Sport, Exercise and Health Sciences</w:t>
            </w:r>
          </w:p>
        </w:tc>
      </w:tr>
      <w:tr w:rsidR="00527AC6" w:rsidTr="793E3B74" w14:paraId="286E44B9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5C4B1CDF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Oxford Brookes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89F759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Business and Finance</w:t>
            </w:r>
          </w:p>
        </w:tc>
      </w:tr>
      <w:tr w:rsidR="00527AC6" w:rsidTr="793E3B74" w14:paraId="2ABC26EC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94F2927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Gloucestershire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5CEA7CA1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Creative Advertising</w:t>
            </w:r>
          </w:p>
        </w:tc>
      </w:tr>
      <w:tr w:rsidR="00527AC6" w:rsidTr="793E3B74" w14:paraId="52B34371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0F2DFDEF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Birmingham City University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72737743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Law with a Foundation Year</w:t>
            </w:r>
          </w:p>
        </w:tc>
      </w:tr>
      <w:tr w:rsidR="00527AC6" w:rsidTr="793E3B74" w14:paraId="6980D387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422F3ADD" w14:textId="77777777">
            <w:pPr>
              <w:widowControl/>
              <w:autoSpaceDE/>
              <w:rPr>
                <w:rFonts w:ascii="Aptos" w:hAnsi="Aptos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ptos" w:hAnsi="Aptos" w:eastAsia="Times New Roman" w:cs="Calibri"/>
                <w:color w:val="000000"/>
                <w:sz w:val="24"/>
                <w:szCs w:val="24"/>
                <w:lang w:val="en-GB" w:eastAsia="en-GB"/>
              </w:rPr>
              <w:t>Philippines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28F210F2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Physiotherapy</w:t>
            </w:r>
          </w:p>
        </w:tc>
      </w:tr>
      <w:tr w:rsidR="00527AC6" w:rsidTr="793E3B74" w14:paraId="1F2E0167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0E3FC40D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University of Gloucestershire</w:t>
            </w:r>
          </w:p>
        </w:tc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27AC6" w:rsidRDefault="00527AC6" w14:paraId="3F50F0AD" w14:textId="77777777">
            <w:pPr>
              <w:widowControl/>
              <w:autoSpaceDE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Physical Education</w:t>
            </w:r>
          </w:p>
        </w:tc>
      </w:tr>
    </w:tbl>
    <w:p w:rsidR="00527AC6" w:rsidP="00527AC6" w:rsidRDefault="00527AC6" w14:paraId="42F89D1E" w14:textId="77777777"/>
    <w:p w:rsidRPr="00146B6C" w:rsidR="00930E87" w:rsidP="00146B6C" w:rsidRDefault="00930E87" w14:paraId="0B9161A4" w14:textId="77777777"/>
    <w:sectPr w:rsidRPr="00146B6C" w:rsidR="00930E87" w:rsidSect="005409BC">
      <w:headerReference w:type="default" r:id="rId9"/>
      <w:footerReference w:type="default" r:id="rId10"/>
      <w:type w:val="continuous"/>
      <w:pgSz w:w="12110" w:h="17050" w:orient="portrait"/>
      <w:pgMar w:top="2835" w:right="1134" w:bottom="1701" w:left="1134" w:header="720" w:footer="454" w:gutter="0"/>
      <w:cols w:space="23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FFF" w:rsidP="00404FED" w:rsidRDefault="00B93FFF" w14:paraId="54D4453F" w14:textId="77777777">
      <w:r>
        <w:separator/>
      </w:r>
    </w:p>
  </w:endnote>
  <w:endnote w:type="continuationSeparator" w:id="0">
    <w:p w:rsidR="00B93FFF" w:rsidP="00404FED" w:rsidRDefault="00B93FFF" w14:paraId="0F097289" w14:textId="77777777">
      <w:r>
        <w:continuationSeparator/>
      </w:r>
    </w:p>
  </w:endnote>
  <w:endnote w:type="continuationNotice" w:id="1">
    <w:p w:rsidR="00B93FFF" w:rsidRDefault="00B93FFF" w14:paraId="3DF48B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76FF7" w:rsidP="00376FF7" w:rsidRDefault="00B9683D" w14:paraId="5F1266FB" w14:textId="52B636FB">
    <w:pPr>
      <w:pStyle w:val="BodyText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32644" wp14:editId="6D2FA19F">
              <wp:simplePos x="0" y="0"/>
              <wp:positionH relativeFrom="margin">
                <wp:posOffset>15240</wp:posOffset>
              </wp:positionH>
              <wp:positionV relativeFrom="paragraph">
                <wp:posOffset>-151765</wp:posOffset>
              </wp:positionV>
              <wp:extent cx="621982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black [3040]" from="1.2pt,-11.95pt" to="490.95pt,-11.95pt" w14:anchorId="5B10F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o6mgEAAIgDAAAOAAAAZHJzL2Uyb0RvYy54bWysU8tu2zAQvBfIPxC8x5IMJ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">
              <w10:wrap anchorx="margin"/>
            </v:line>
          </w:pict>
        </mc:Fallback>
      </mc:AlternateContent>
    </w:r>
    <w:r w:rsidR="00376FF7">
      <w:rPr>
        <w:noProof/>
        <w:sz w:val="18"/>
        <w:szCs w:val="18"/>
      </w:rPr>
      <w:t>Cirencester</w:t>
    </w:r>
    <w:r w:rsidRPr="006919D9">
      <w:rPr>
        <w:sz w:val="18"/>
        <w:szCs w:val="18"/>
      </w:rPr>
      <w:t xml:space="preserve"> </w:t>
    </w:r>
    <w:r w:rsidRPr="006919D9" w:rsidR="00376FF7">
      <w:rPr>
        <w:sz w:val="18"/>
        <w:szCs w:val="18"/>
      </w:rPr>
      <w:t>Road</w:t>
    </w:r>
    <w:r w:rsidR="00376FF7">
      <w:rPr>
        <w:sz w:val="18"/>
        <w:szCs w:val="18"/>
      </w:rPr>
      <w:t>, Charlton Kings, C</w:t>
    </w:r>
    <w:r w:rsidRPr="006919D9" w:rsidR="00376FF7">
      <w:rPr>
        <w:sz w:val="18"/>
        <w:szCs w:val="18"/>
      </w:rPr>
      <w:t>heltenham</w:t>
    </w:r>
    <w:r w:rsidR="00376FF7">
      <w:rPr>
        <w:sz w:val="18"/>
        <w:szCs w:val="18"/>
      </w:rPr>
      <w:t xml:space="preserve"> </w:t>
    </w:r>
    <w:r w:rsidRPr="006919D9" w:rsidR="00376FF7">
      <w:rPr>
        <w:sz w:val="18"/>
        <w:szCs w:val="18"/>
      </w:rPr>
      <w:t>Gloucestershire</w:t>
    </w:r>
    <w:r w:rsidR="00376FF7">
      <w:rPr>
        <w:sz w:val="18"/>
        <w:szCs w:val="18"/>
      </w:rPr>
      <w:t xml:space="preserve"> </w:t>
    </w:r>
    <w:r w:rsidRPr="006919D9" w:rsidR="00376FF7">
      <w:rPr>
        <w:sz w:val="18"/>
        <w:szCs w:val="18"/>
      </w:rPr>
      <w:t>GL53 8EY</w:t>
    </w:r>
  </w:p>
  <w:p w:rsidRPr="00376FF7" w:rsidR="00376FF7" w:rsidP="00376FF7" w:rsidRDefault="00376FF7" w14:paraId="6005A397" w14:textId="77777777">
    <w:pPr>
      <w:pStyle w:val="BodyText"/>
      <w:jc w:val="center"/>
      <w:rPr>
        <w:sz w:val="18"/>
        <w:szCs w:val="18"/>
        <w:lang w:val="de-DE"/>
      </w:rPr>
    </w:pPr>
    <w:r w:rsidRPr="00376FF7">
      <w:rPr>
        <w:sz w:val="18"/>
        <w:szCs w:val="18"/>
        <w:lang w:val="de-DE"/>
      </w:rPr>
      <w:t xml:space="preserve">T: 01242 388555  |  E: reception@stedwards.co.uk  |  W: </w:t>
    </w:r>
    <w:hyperlink r:id="rId1">
      <w:r w:rsidRPr="00376FF7">
        <w:rPr>
          <w:sz w:val="18"/>
          <w:szCs w:val="18"/>
          <w:lang w:val="de-DE"/>
        </w:rPr>
        <w:t>www.stedwards.co.uk</w:t>
      </w:r>
    </w:hyperlink>
  </w:p>
  <w:p w:rsidRPr="005409BC" w:rsidR="00B9683D" w:rsidP="00376FF7" w:rsidRDefault="00B9683D" w14:paraId="457D1026" w14:textId="5361D416">
    <w:pPr>
      <w:pStyle w:val="BodyText"/>
      <w:jc w:val="center"/>
      <w:rPr>
        <w:sz w:val="10"/>
        <w:szCs w:val="10"/>
        <w:lang w:val="de-DE"/>
      </w:rPr>
    </w:pPr>
  </w:p>
  <w:p w:rsidR="003E676F" w:rsidP="00B9683D" w:rsidRDefault="00B9683D" w14:paraId="353CC049" w14:textId="7F92A3D2">
    <w:pPr>
      <w:pStyle w:val="BodyText"/>
      <w:jc w:val="center"/>
      <w:rPr>
        <w:sz w:val="14"/>
      </w:rPr>
    </w:pPr>
    <w:r>
      <w:rPr>
        <w:sz w:val="14"/>
      </w:rPr>
      <w:t xml:space="preserve">St Edward’s School Cheltenham Ltd is registered in England at </w:t>
    </w:r>
    <w:r w:rsidRPr="005409BC">
      <w:rPr>
        <w:sz w:val="14"/>
      </w:rPr>
      <w:t>19 London Road, High Wycombe, Buck</w:t>
    </w:r>
    <w:r>
      <w:rPr>
        <w:sz w:val="14"/>
      </w:rPr>
      <w:t xml:space="preserve">inghamshire </w:t>
    </w:r>
    <w:r w:rsidRPr="005409BC">
      <w:rPr>
        <w:sz w:val="14"/>
      </w:rPr>
      <w:t>HP11 1BJ</w:t>
    </w:r>
    <w:r>
      <w:rPr>
        <w:sz w:val="14"/>
      </w:rPr>
      <w:t xml:space="preserve">. Reg No. </w:t>
    </w:r>
    <w:r w:rsidRPr="005409BC">
      <w:rPr>
        <w:sz w:val="14"/>
      </w:rPr>
      <w:t>13658627</w:t>
    </w:r>
  </w:p>
  <w:p w:rsidR="00B9683D" w:rsidP="00B9683D" w:rsidRDefault="00B9683D" w14:paraId="1F259436" w14:textId="77777777">
    <w:pPr>
      <w:pStyle w:val="BodyText"/>
      <w:jc w:val="center"/>
      <w:rPr>
        <w:sz w:val="14"/>
      </w:rPr>
    </w:pPr>
  </w:p>
  <w:p w:rsidRPr="00B9683D" w:rsidR="00B9683D" w:rsidP="00B9683D" w:rsidRDefault="00B9683D" w14:paraId="37A3BA0F" w14:textId="77777777">
    <w:pPr>
      <w:pStyle w:val="BodyText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FFF" w:rsidP="00404FED" w:rsidRDefault="00B93FFF" w14:paraId="6759552D" w14:textId="77777777">
      <w:r>
        <w:separator/>
      </w:r>
    </w:p>
  </w:footnote>
  <w:footnote w:type="continuationSeparator" w:id="0">
    <w:p w:rsidR="00B93FFF" w:rsidP="00404FED" w:rsidRDefault="00B93FFF" w14:paraId="62B75DC8" w14:textId="77777777">
      <w:r>
        <w:continuationSeparator/>
      </w:r>
    </w:p>
  </w:footnote>
  <w:footnote w:type="continuationNotice" w:id="1">
    <w:p w:rsidR="00B93FFF" w:rsidRDefault="00B93FFF" w14:paraId="1C9764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2420" w:rsidP="00A62420" w:rsidRDefault="00BE7E52" w14:paraId="5D0E5BA7" w14:textId="31F8718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283A9D" wp14:editId="09A7BEA8">
          <wp:simplePos x="0" y="0"/>
          <wp:positionH relativeFrom="column">
            <wp:posOffset>2943225</wp:posOffset>
          </wp:positionH>
          <wp:positionV relativeFrom="paragraph">
            <wp:posOffset>-635</wp:posOffset>
          </wp:positionV>
          <wp:extent cx="3375025" cy="885190"/>
          <wp:effectExtent l="0" t="0" r="0" b="0"/>
          <wp:wrapSquare wrapText="bothSides"/>
          <wp:docPr id="8301905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190535" name="Picture 830190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02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2420" w:rsidP="00A62420" w:rsidRDefault="00A62420" w14:paraId="0ADEF74E" w14:textId="77777777">
    <w:pPr>
      <w:pStyle w:val="Header"/>
    </w:pPr>
  </w:p>
  <w:p w:rsidR="00A62420" w:rsidP="00A62420" w:rsidRDefault="00A62420" w14:paraId="26C21273" w14:textId="77777777">
    <w:pPr>
      <w:pStyle w:val="Header"/>
    </w:pPr>
  </w:p>
  <w:p w:rsidR="00A62420" w:rsidP="00A62420" w:rsidRDefault="00A62420" w14:paraId="7E4A9892" w14:textId="77777777">
    <w:pPr>
      <w:pStyle w:val="Header"/>
    </w:pPr>
  </w:p>
  <w:p w:rsidR="00A62420" w:rsidP="00A62420" w:rsidRDefault="00A62420" w14:paraId="0ECC0E3B" w14:textId="77777777">
    <w:pPr>
      <w:pStyle w:val="Header"/>
    </w:pPr>
  </w:p>
  <w:p w:rsidR="00A62420" w:rsidP="00A62420" w:rsidRDefault="00A62420" w14:paraId="454AA435" w14:textId="77777777">
    <w:pPr>
      <w:pStyle w:val="Header"/>
    </w:pPr>
  </w:p>
  <w:p w:rsidR="00506DC2" w:rsidP="00A62420" w:rsidRDefault="001969BD" w14:paraId="45C1F545" w14:textId="77777777">
    <w:pPr>
      <w:ind w:left="6096"/>
      <w:jc w:val="right"/>
      <w:rPr>
        <w:rFonts w:cs="Arial"/>
        <w:b/>
        <w:color w:val="231F20"/>
        <w:sz w:val="18"/>
        <w:szCs w:val="18"/>
      </w:rPr>
    </w:pPr>
    <w:r>
      <w:rPr>
        <w:sz w:val="18"/>
        <w:szCs w:val="18"/>
      </w:rPr>
      <w:t>Head</w:t>
    </w:r>
    <w:r w:rsidR="00506DC2">
      <w:rPr>
        <w:sz w:val="18"/>
        <w:szCs w:val="18"/>
      </w:rPr>
      <w:t>teacher</w:t>
    </w:r>
    <w:r w:rsidR="00A62420">
      <w:rPr>
        <w:sz w:val="18"/>
        <w:szCs w:val="18"/>
      </w:rPr>
      <w:t xml:space="preserve">: </w:t>
    </w:r>
    <w:r w:rsidR="00A62420">
      <w:rPr>
        <w:rFonts w:cs="Arial"/>
        <w:b/>
        <w:color w:val="231F20"/>
        <w:sz w:val="18"/>
        <w:szCs w:val="18"/>
      </w:rPr>
      <w:t>Mr</w:t>
    </w:r>
    <w:r w:rsidR="00506DC2">
      <w:rPr>
        <w:rFonts w:cs="Arial"/>
        <w:b/>
        <w:color w:val="231F20"/>
        <w:sz w:val="18"/>
        <w:szCs w:val="18"/>
      </w:rPr>
      <w:t>s</w:t>
    </w:r>
    <w:r w:rsidR="00A62420">
      <w:rPr>
        <w:rFonts w:cs="Arial"/>
        <w:b/>
        <w:color w:val="231F20"/>
        <w:sz w:val="18"/>
        <w:szCs w:val="18"/>
      </w:rPr>
      <w:t xml:space="preserve"> </w:t>
    </w:r>
    <w:r w:rsidR="00506DC2">
      <w:rPr>
        <w:rFonts w:cs="Arial"/>
        <w:b/>
        <w:color w:val="231F20"/>
        <w:sz w:val="18"/>
        <w:szCs w:val="18"/>
      </w:rPr>
      <w:t>A</w:t>
    </w:r>
    <w:r w:rsidR="00A62420">
      <w:rPr>
        <w:rFonts w:cs="Arial"/>
        <w:b/>
        <w:color w:val="231F20"/>
        <w:sz w:val="18"/>
        <w:szCs w:val="18"/>
      </w:rPr>
      <w:t xml:space="preserve"> </w:t>
    </w:r>
    <w:r w:rsidR="00506DC2">
      <w:rPr>
        <w:rFonts w:cs="Arial"/>
        <w:b/>
        <w:color w:val="231F20"/>
        <w:sz w:val="18"/>
        <w:szCs w:val="18"/>
      </w:rPr>
      <w:t>Sandford-Squires</w:t>
    </w:r>
    <w:r w:rsidRPr="00A46F51" w:rsidR="00A62420">
      <w:rPr>
        <w:rFonts w:cs="Arial"/>
        <w:b/>
        <w:color w:val="231F20"/>
        <w:sz w:val="18"/>
        <w:szCs w:val="18"/>
      </w:rPr>
      <w:t xml:space="preserve"> </w:t>
    </w:r>
  </w:p>
  <w:p w:rsidRPr="003E676F" w:rsidR="00A62420" w:rsidP="00A62420" w:rsidRDefault="00506DC2" w14:paraId="5B8A56A0" w14:textId="15A3BE23">
    <w:pPr>
      <w:ind w:left="6096"/>
      <w:jc w:val="right"/>
      <w:rPr>
        <w:rFonts w:cs="Arial"/>
        <w:color w:val="231F20"/>
        <w:sz w:val="18"/>
        <w:szCs w:val="18"/>
      </w:rPr>
    </w:pPr>
    <w:r>
      <w:rPr>
        <w:rFonts w:cs="Arial"/>
        <w:color w:val="231F20"/>
        <w:sz w:val="18"/>
        <w:szCs w:val="18"/>
      </w:rPr>
      <w:t>MA (Cantab)</w:t>
    </w:r>
    <w:r w:rsidR="00A62420">
      <w:rPr>
        <w:rFonts w:cs="Arial"/>
        <w:color w:val="231F20"/>
        <w:sz w:val="18"/>
        <w:szCs w:val="18"/>
      </w:rPr>
      <w:t xml:space="preserve"> </w:t>
    </w:r>
    <w:r>
      <w:rPr>
        <w:rFonts w:cs="Arial"/>
        <w:color w:val="231F20"/>
        <w:sz w:val="18"/>
        <w:szCs w:val="18"/>
      </w:rPr>
      <w:t>MSc</w:t>
    </w:r>
  </w:p>
  <w:p w:rsidRPr="00A62420" w:rsidR="003E676F" w:rsidP="00A62420" w:rsidRDefault="003E676F" w14:paraId="10D3816A" w14:textId="42EAD0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SortMethod w:val="00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2F"/>
    <w:rsid w:val="00004017"/>
    <w:rsid w:val="000153DE"/>
    <w:rsid w:val="0003069F"/>
    <w:rsid w:val="00060D6A"/>
    <w:rsid w:val="000D4DAF"/>
    <w:rsid w:val="000D71BC"/>
    <w:rsid w:val="000F409B"/>
    <w:rsid w:val="00101B45"/>
    <w:rsid w:val="001044F9"/>
    <w:rsid w:val="00123470"/>
    <w:rsid w:val="0012410F"/>
    <w:rsid w:val="00146B6C"/>
    <w:rsid w:val="001700D5"/>
    <w:rsid w:val="00195030"/>
    <w:rsid w:val="001969BD"/>
    <w:rsid w:val="002636A9"/>
    <w:rsid w:val="002842FF"/>
    <w:rsid w:val="002B317C"/>
    <w:rsid w:val="002C69EB"/>
    <w:rsid w:val="00317554"/>
    <w:rsid w:val="00333F36"/>
    <w:rsid w:val="00376FF7"/>
    <w:rsid w:val="003A1B57"/>
    <w:rsid w:val="003A1B6F"/>
    <w:rsid w:val="003A2B42"/>
    <w:rsid w:val="003B4D3B"/>
    <w:rsid w:val="003B593A"/>
    <w:rsid w:val="003C04CC"/>
    <w:rsid w:val="003C13B5"/>
    <w:rsid w:val="003D7FA4"/>
    <w:rsid w:val="003E676F"/>
    <w:rsid w:val="0040305B"/>
    <w:rsid w:val="00404FED"/>
    <w:rsid w:val="00424411"/>
    <w:rsid w:val="00506DC2"/>
    <w:rsid w:val="00527AC6"/>
    <w:rsid w:val="00533766"/>
    <w:rsid w:val="005409BC"/>
    <w:rsid w:val="005739D2"/>
    <w:rsid w:val="00610A04"/>
    <w:rsid w:val="00614499"/>
    <w:rsid w:val="00630EF9"/>
    <w:rsid w:val="0063208A"/>
    <w:rsid w:val="0068711E"/>
    <w:rsid w:val="006919D9"/>
    <w:rsid w:val="006C6D7C"/>
    <w:rsid w:val="006D71EC"/>
    <w:rsid w:val="00712D19"/>
    <w:rsid w:val="00723DD3"/>
    <w:rsid w:val="007417F1"/>
    <w:rsid w:val="0076399B"/>
    <w:rsid w:val="00796B5C"/>
    <w:rsid w:val="007C1AD4"/>
    <w:rsid w:val="007D1F09"/>
    <w:rsid w:val="007D2373"/>
    <w:rsid w:val="00854C93"/>
    <w:rsid w:val="0088475D"/>
    <w:rsid w:val="008F5A2F"/>
    <w:rsid w:val="0092213C"/>
    <w:rsid w:val="009252B2"/>
    <w:rsid w:val="00930E87"/>
    <w:rsid w:val="00992149"/>
    <w:rsid w:val="009D7793"/>
    <w:rsid w:val="009E7968"/>
    <w:rsid w:val="009F18B1"/>
    <w:rsid w:val="00A26541"/>
    <w:rsid w:val="00A4351E"/>
    <w:rsid w:val="00A46F51"/>
    <w:rsid w:val="00A60E79"/>
    <w:rsid w:val="00A62420"/>
    <w:rsid w:val="00A7530C"/>
    <w:rsid w:val="00AB24D4"/>
    <w:rsid w:val="00AD20AE"/>
    <w:rsid w:val="00AF55E4"/>
    <w:rsid w:val="00B67467"/>
    <w:rsid w:val="00B93FFF"/>
    <w:rsid w:val="00B96518"/>
    <w:rsid w:val="00B9683D"/>
    <w:rsid w:val="00BB52B6"/>
    <w:rsid w:val="00BB7654"/>
    <w:rsid w:val="00BD3073"/>
    <w:rsid w:val="00BE7E52"/>
    <w:rsid w:val="00BF6A1B"/>
    <w:rsid w:val="00C21A94"/>
    <w:rsid w:val="00C27ECE"/>
    <w:rsid w:val="00C34580"/>
    <w:rsid w:val="00C34D96"/>
    <w:rsid w:val="00C362E2"/>
    <w:rsid w:val="00C55EF0"/>
    <w:rsid w:val="00CE5E9A"/>
    <w:rsid w:val="00D35C98"/>
    <w:rsid w:val="00DC5A58"/>
    <w:rsid w:val="00DD0CEA"/>
    <w:rsid w:val="00E14E57"/>
    <w:rsid w:val="00E80D0B"/>
    <w:rsid w:val="00EE217B"/>
    <w:rsid w:val="00EF641D"/>
    <w:rsid w:val="00EF76DE"/>
    <w:rsid w:val="00F365D4"/>
    <w:rsid w:val="00F375A1"/>
    <w:rsid w:val="00F7087F"/>
    <w:rsid w:val="00FD5C98"/>
    <w:rsid w:val="00FF30D4"/>
    <w:rsid w:val="01BBFDB3"/>
    <w:rsid w:val="03B36B7A"/>
    <w:rsid w:val="04CF5CB6"/>
    <w:rsid w:val="0506CF0F"/>
    <w:rsid w:val="0862C5F0"/>
    <w:rsid w:val="0BC7EC27"/>
    <w:rsid w:val="0C7918FB"/>
    <w:rsid w:val="14C17E62"/>
    <w:rsid w:val="155C4163"/>
    <w:rsid w:val="15B0AFBD"/>
    <w:rsid w:val="2231F20F"/>
    <w:rsid w:val="2A1816AB"/>
    <w:rsid w:val="2AB20B08"/>
    <w:rsid w:val="2E7FDA91"/>
    <w:rsid w:val="3001E471"/>
    <w:rsid w:val="32217929"/>
    <w:rsid w:val="3E9B02F8"/>
    <w:rsid w:val="408B0CD7"/>
    <w:rsid w:val="42B53638"/>
    <w:rsid w:val="43E55997"/>
    <w:rsid w:val="4AE671FB"/>
    <w:rsid w:val="4E3B2D65"/>
    <w:rsid w:val="54900758"/>
    <w:rsid w:val="558270DF"/>
    <w:rsid w:val="57DEFBCE"/>
    <w:rsid w:val="5A743E3E"/>
    <w:rsid w:val="5D83AC30"/>
    <w:rsid w:val="6483388C"/>
    <w:rsid w:val="66565715"/>
    <w:rsid w:val="680D5F27"/>
    <w:rsid w:val="6E267CBD"/>
    <w:rsid w:val="6E57F603"/>
    <w:rsid w:val="7254F291"/>
    <w:rsid w:val="74F6721F"/>
    <w:rsid w:val="768A410F"/>
    <w:rsid w:val="7765B1FD"/>
    <w:rsid w:val="793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7BC3A"/>
  <w15:docId w15:val="{5CEFBF56-2D56-4B11-8202-A6E00463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E5E9A"/>
    <w:rPr>
      <w:rFonts w:ascii="Arial" w:hAnsi="Arial" w:eastAsia="Trebuchet MS" w:cs="Trebuchet MS"/>
    </w:rPr>
  </w:style>
  <w:style w:type="paragraph" w:styleId="Heading1">
    <w:name w:val="heading 1"/>
    <w:basedOn w:val="Normal"/>
    <w:uiPriority w:val="1"/>
    <w:qFormat/>
    <w:rsid w:val="00CE5E9A"/>
    <w:pPr>
      <w:spacing w:after="60"/>
      <w:outlineLvl w:val="0"/>
    </w:pPr>
    <w:rPr>
      <w:b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E9A"/>
    <w:pPr>
      <w:keepNext/>
      <w:keepLines/>
      <w:spacing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9A"/>
    <w:pPr>
      <w:keepNext/>
      <w:keepLines/>
      <w:spacing w:after="6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E9A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CE5E9A"/>
    <w:rPr>
      <w:szCs w:val="14"/>
    </w:rPr>
  </w:style>
  <w:style w:type="paragraph" w:styleId="ListParagraph">
    <w:name w:val="List Paragraph"/>
    <w:basedOn w:val="Normal"/>
    <w:uiPriority w:val="1"/>
  </w:style>
  <w:style w:type="paragraph" w:styleId="TableParagraph" w:customStyle="1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404F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4FED"/>
    <w:rPr>
      <w:rFonts w:ascii="Arial" w:hAnsi="Arial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04F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4FED"/>
    <w:rPr>
      <w:rFonts w:ascii="Arial" w:hAnsi="Arial" w:eastAsia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D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76DE"/>
    <w:rPr>
      <w:rFonts w:ascii="Segoe UI" w:hAnsi="Segoe UI" w:eastAsia="Trebuchet MS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9D9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5E9A"/>
    <w:rPr>
      <w:rFonts w:ascii="Arial" w:hAnsi="Arial" w:eastAsiaTheme="majorEastAsia" w:cstheme="majorBidi"/>
      <w:b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E5E9A"/>
    <w:rPr>
      <w:rFonts w:ascii="Arial" w:hAnsi="Arial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5E9A"/>
    <w:rPr>
      <w:rFonts w:ascii="Arial" w:hAnsi="Arial" w:eastAsiaTheme="majorEastAsia" w:cstheme="majorBidi"/>
      <w:b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676F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527AC6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dwards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b38343b-209f-4fbd-99ae-5728f1b9bc99" xsi:nil="true"/>
    <lcf76f155ced4ddcb4097134ff3c332f xmlns="ab38343b-209f-4fbd-99ae-5728f1b9bc99">
      <Terms xmlns="http://schemas.microsoft.com/office/infopath/2007/PartnerControls"/>
    </lcf76f155ced4ddcb4097134ff3c332f>
    <TaxCatchAll xmlns="ac22083c-dc07-42f1-942a-c03e923c5e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8E70C4B44D04090B09DDCC8509202" ma:contentTypeVersion="19" ma:contentTypeDescription="Create a new document." ma:contentTypeScope="" ma:versionID="f3ebac483e31b1521dac24e8c76b3364">
  <xsd:schema xmlns:xsd="http://www.w3.org/2001/XMLSchema" xmlns:xs="http://www.w3.org/2001/XMLSchema" xmlns:p="http://schemas.microsoft.com/office/2006/metadata/properties" xmlns:ns2="ab38343b-209f-4fbd-99ae-5728f1b9bc99" xmlns:ns3="ac22083c-dc07-42f1-942a-c03e923c5e06" targetNamespace="http://schemas.microsoft.com/office/2006/metadata/properties" ma:root="true" ma:fieldsID="b3b29a30a733f97c69d9fd46a3c2a28e" ns2:_="" ns3:_="">
    <xsd:import namespace="ab38343b-209f-4fbd-99ae-5728f1b9bc99"/>
    <xsd:import namespace="ac22083c-dc07-42f1-942a-c03e923c5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343b-209f-4fbd-99ae-5728f1b9b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2083c-dc07-42f1-942a-c03e923c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9527a5-3ad0-417f-888d-625ef3c9983c}" ma:internalName="TaxCatchAll" ma:showField="CatchAllData" ma:web="ac22083c-dc07-42f1-942a-c03e923c5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58036-CCE1-4F6F-BA72-7353599267F8}">
  <ds:schemaRefs>
    <ds:schemaRef ds:uri="http://schemas.microsoft.com/office/2006/metadata/properties"/>
    <ds:schemaRef ds:uri="http://schemas.microsoft.com/office/infopath/2007/PartnerControls"/>
    <ds:schemaRef ds:uri="ab38343b-209f-4fbd-99ae-5728f1b9bc99"/>
    <ds:schemaRef ds:uri="ac22083c-dc07-42f1-942a-c03e923c5e06"/>
  </ds:schemaRefs>
</ds:datastoreItem>
</file>

<file path=customXml/itemProps2.xml><?xml version="1.0" encoding="utf-8"?>
<ds:datastoreItem xmlns:ds="http://schemas.openxmlformats.org/officeDocument/2006/customXml" ds:itemID="{FA32E519-7204-4811-A266-399BE6ED2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A3212-1CF6-40F7-89A0-28DD6C142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343b-209f-4fbd-99ae-5728f1b9bc99"/>
    <ds:schemaRef ds:uri="ac22083c-dc07-42f1-942a-c03e923c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Eds Prep LH-Headmaster.indd</dc:title>
  <dc:subject/>
  <dc:creator>Fran Knight</dc:creator>
  <keywords/>
  <dc:description/>
  <lastModifiedBy>k.boardman@stedwards.co.uk</lastModifiedBy>
  <revision>14</revision>
  <lastPrinted>2020-07-01T00:03:00.0000000Z</lastPrinted>
  <dcterms:created xsi:type="dcterms:W3CDTF">2025-08-14T18:03:00.0000000Z</dcterms:created>
  <dcterms:modified xsi:type="dcterms:W3CDTF">2025-09-30T14:15:09.7963662Z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2019-08-14T00:00:00Z</vt:filetime>
  </property>
  <property fmtid="{D5CDD505-2E9C-101B-9397-08002B2CF9AE}" pid="5" name="ContentTypeId">
    <vt:lpwstr>0x0101004D48E70C4B44D04090B09DDCC8509202</vt:lpwstr>
  </property>
  <property fmtid="{D5CDD505-2E9C-101B-9397-08002B2CF9AE}" pid="6" name="MediaServiceImageTags">
    <vt:lpwstr/>
  </property>
  <property fmtid="{D5CDD505-2E9C-101B-9397-08002B2CF9AE}" pid="7" name="GrammarlyDocumentId">
    <vt:lpwstr>1963de7d-2f11-4462-9a09-c8013a11df40</vt:lpwstr>
  </property>
</Properties>
</file>